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70FC" w14:paraId="2D4CC76C" w14:textId="77777777" w:rsidTr="00D170FC">
        <w:tc>
          <w:tcPr>
            <w:tcW w:w="4253" w:type="dxa"/>
          </w:tcPr>
          <w:p w14:paraId="29404167" w14:textId="77777777" w:rsidR="00D170FC" w:rsidRDefault="00D17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2119CDAF" w14:textId="77777777" w:rsidR="00D170FC" w:rsidRDefault="00D17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75F46E10" w14:textId="77777777" w:rsidR="00D170FC" w:rsidRDefault="00D17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3D2F648F" w14:textId="77777777" w:rsidR="00D170FC" w:rsidRDefault="00D17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14:paraId="5E318875" w14:textId="77777777" w:rsidR="00D170FC" w:rsidRDefault="00D170F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4407FD0D" w14:textId="77777777" w:rsidR="003E023E" w:rsidRPr="00CF1BE9" w:rsidRDefault="003E023E" w:rsidP="003E023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0F363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14:paraId="169F7250" w14:textId="77777777" w:rsidR="00A1063D" w:rsidRPr="0000497F" w:rsidRDefault="00A1063D" w:rsidP="00A1063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14:paraId="7DF11F7B" w14:textId="77777777" w:rsidR="00A1063D" w:rsidRPr="0000497F" w:rsidRDefault="00A1063D" w:rsidP="00A106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1A94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14:paraId="25D79203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093DAD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005B8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14:paraId="43381E96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FA49EA" w14:textId="77777777" w:rsidR="00A1063D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F285A6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48FE23DF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6C9F02A0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982BD0" w14:textId="77777777" w:rsidR="00D170FC" w:rsidRDefault="00D170FC" w:rsidP="003E023E">
      <w:pPr>
        <w:pStyle w:val="ae"/>
        <w:spacing w:line="276" w:lineRule="auto"/>
        <w:ind w:left="1069"/>
        <w:jc w:val="both"/>
        <w:rPr>
          <w:b/>
        </w:rPr>
      </w:pPr>
    </w:p>
    <w:p w14:paraId="4CDA6252" w14:textId="5CC7A1D4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93D92E5" w14:textId="77777777"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2A3945AB" w14:textId="77777777"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сформировать понимание идейного и художественного своеобразия зарубежной литературы от античности до современности;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выработать навыки литературоведческого анализа произведений европейских и американских писателей; понять основные тенденции исторического процесса и их влияние на общественное сознание;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 эстетикой и поэтикой каждого из течений, составляющих литературную жизнь эпохи.</w:t>
      </w:r>
    </w:p>
    <w:p w14:paraId="07692EEF" w14:textId="3AEAB564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3889C700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«Актерское искусство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специализация «Артист драматического театра и кино»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на очном отделении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3-6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заочном отделении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4-7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DF13B5A" w14:textId="15B607B0" w:rsidR="003E023E" w:rsidRPr="00CF1BE9" w:rsidRDefault="003E023E" w:rsidP="009F1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Pr="003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театрализованных представлений и праздников, 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«Режиссер театрализованных представлений и праздников».</w:t>
      </w:r>
    </w:p>
    <w:p w14:paraId="5A7ED232" w14:textId="1E9B1DBB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4C1C36F2" w:rsidR="00EA2F5E" w:rsidRPr="00CF1BE9" w:rsidRDefault="00EA2F5E" w:rsidP="00A106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УК-5 –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анализировать и учитывать разнообразие культур в процессе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межкультурного взаимодействия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lastRenderedPageBreak/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5C42A5FA" w14:textId="77A5AC0F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очном отделении составляет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1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C448F7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–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экзамен, 27 ч.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зачет,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ачет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42F7988" w14:textId="21A2317C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C448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C448F7">
        <w:rPr>
          <w:rFonts w:ascii="Times New Roman" w:eastAsia="Times New Roman" w:hAnsi="Times New Roman" w:cs="Times New Roman"/>
          <w:sz w:val="24"/>
          <w:szCs w:val="24"/>
          <w:lang w:eastAsia="ru-RU"/>
        </w:rPr>
        <w:t>191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–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экзамен, 9 ч.,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C448F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ачет</w:t>
      </w:r>
      <w:r w:rsidR="00C4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4ч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C562C5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69F0BC32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F80772B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B0B" w14:textId="7EC21CD6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0100CEA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30011B52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1C5738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2F79B019" w:rsidR="003E023E" w:rsidRPr="00CF1BE9" w:rsidRDefault="00EF1DE5" w:rsidP="000B1F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591743C4" w:rsidR="003E023E" w:rsidRPr="00CF1BE9" w:rsidRDefault="000B1F4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E023E" w:rsidRPr="00CF1BE9" w14:paraId="409B6F2B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31CC5BAA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64B8D726" w:rsidR="003E023E" w:rsidRPr="00CF1BE9" w:rsidRDefault="003E023E" w:rsidP="000B1F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0E2FEB23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7F83854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61E" w14:textId="022ADE8F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5CA17583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058177E1" w:rsidR="003E023E" w:rsidRPr="00CF1BE9" w:rsidRDefault="003E023E" w:rsidP="000B1F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9EFBBBB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D6F" w14:textId="7F9B33A4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4B93A3F4" w:rsidR="003E023E" w:rsidRPr="00CF1BE9" w:rsidRDefault="003E023E" w:rsidP="000B1F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2531EE36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0AF6F2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215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7A362328" w14:textId="14C5AF30" w:rsidR="000B1F42" w:rsidRPr="00CF1BE9" w:rsidRDefault="000B1F4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E023E" w:rsidRPr="00CF1BE9" w14:paraId="6E0FB9B6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262" w14:textId="597F5B31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0D4A5BF5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39048475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ADA7CEE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0A4E88CE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1FEBBA9E" w:rsidR="003E023E" w:rsidRPr="00CF1BE9" w:rsidRDefault="003E023E" w:rsidP="000B1F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2EBBBE18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5557C36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1E46B31D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тестирование, 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к экзамену, презентация</w:t>
            </w:r>
          </w:p>
          <w:p w14:paraId="7215BAE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3F09050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5CF" w14:textId="2CF8B32F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0A68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8F5" w14:textId="12B12329" w:rsidR="003E023E" w:rsidRPr="00CF1BE9" w:rsidRDefault="0039555F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F4D" w14:textId="5D2CD035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B78" w14:textId="5A9B6353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172" w14:textId="140704E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464" w14:textId="5D0DE7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17" w14:textId="7B7A49A2" w:rsidR="003E023E" w:rsidRPr="00CF1BE9" w:rsidRDefault="000B1F42" w:rsidP="00FC541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B13" w14:textId="35D1B12D" w:rsidR="003E023E" w:rsidRPr="00CF1BE9" w:rsidRDefault="000B1F4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5AB4CEE2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52E226BA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35B0F24D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129195E7" w:rsidR="003E023E" w:rsidRPr="00CF1BE9" w:rsidRDefault="00333388" w:rsidP="00DA778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bookmarkStart w:id="1" w:name="_GoBack"/>
            <w:bookmarkEnd w:id="1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613D5A1C" w:rsidR="00653DA7" w:rsidRPr="00CF1BE9" w:rsidRDefault="00DA7788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</w:t>
            </w:r>
            <w:r w:rsidR="00653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106C062F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24773159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5224C715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567C7291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4EBFDD60" w:rsidR="003E023E" w:rsidRPr="00CF1BE9" w:rsidRDefault="00333388" w:rsidP="00DA778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9698" w14:textId="4E47F9C1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023E" w:rsidRPr="00CF1BE9" w14:paraId="5638AFCA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2654C7B3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11079392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3EB9F502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2F797F58" w:rsidR="003E023E" w:rsidRPr="00CF1BE9" w:rsidRDefault="003333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3EA7B42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2E6356A0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2E69D480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04DC2B35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5553FFF0" w:rsidR="003E023E" w:rsidRPr="00CF1BE9" w:rsidRDefault="003333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755B2BAC" w:rsidR="003E023E" w:rsidRPr="00CF1BE9" w:rsidRDefault="003E023E" w:rsidP="00DA778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C40F0E9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25F6C96E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574CBA7C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43184D7B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58790710" w:rsidR="003E023E" w:rsidRPr="00CF1BE9" w:rsidRDefault="003333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5A511E8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proofErr w:type="spellStart"/>
            <w:proofErr w:type="gramStart"/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тестирование,подготовка</w:t>
            </w:r>
            <w:proofErr w:type="spellEnd"/>
            <w:proofErr w:type="gramEnd"/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1535794B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5B44AA39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3DE0FB51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4B455D30" w:rsidR="003E023E" w:rsidRPr="00CF1BE9" w:rsidRDefault="003333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733318C0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36EF4B6D" w:rsidR="003E023E" w:rsidRPr="00CF1BE9" w:rsidRDefault="00C448F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A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4D808A0A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66DBA987" w:rsidR="003E023E" w:rsidRPr="00CF1BE9" w:rsidRDefault="00DA7788" w:rsidP="00C448F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07E6544C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и социальный роман Ж. Санд («Консуэло», 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Индиана»*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Основная цель образовательных технологий - формирование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компетенций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Чувство. Настроение. </w:t>
            </w:r>
            <w:proofErr w:type="gramStart"/>
            <w:r w:rsidRPr="00CF1BE9">
              <w:t>Идея  личности</w:t>
            </w:r>
            <w:proofErr w:type="gramEnd"/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EE5548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EE5548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EE5548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EE5548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EE5548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используя таки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EE5548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EE5548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EE5548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EE5548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EE5548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lastRenderedPageBreak/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- 395 с. - (Бакалавр. Академический курс). - ISBN 978-5-534-02682-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;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lastRenderedPageBreak/>
        <w:t xml:space="preserve">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</w:t>
      </w:r>
      <w:r w:rsidRPr="00CF1BE9">
        <w:rPr>
          <w:rFonts w:ascii="Times New Roman" w:hAnsi="Times New Roman" w:cs="Times New Roman"/>
          <w:sz w:val="24"/>
          <w:szCs w:val="24"/>
        </w:rPr>
        <w:lastRenderedPageBreak/>
        <w:t>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5"/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023E" w:rsidRPr="00CF1BE9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05252" w14:textId="77777777" w:rsidR="00EE5548" w:rsidRDefault="00EE5548">
      <w:pPr>
        <w:spacing w:after="0" w:line="240" w:lineRule="auto"/>
      </w:pPr>
      <w:r>
        <w:separator/>
      </w:r>
    </w:p>
  </w:endnote>
  <w:endnote w:type="continuationSeparator" w:id="0">
    <w:p w14:paraId="674D665F" w14:textId="77777777" w:rsidR="00EE5548" w:rsidRDefault="00EE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EEED" w14:textId="14CE562B" w:rsidR="00A1063D" w:rsidRDefault="00A1063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33388">
      <w:rPr>
        <w:noProof/>
      </w:rPr>
      <w:t>6</w:t>
    </w:r>
    <w:r>
      <w:fldChar w:fldCharType="end"/>
    </w:r>
  </w:p>
  <w:p w14:paraId="1165E540" w14:textId="77777777" w:rsidR="00A1063D" w:rsidRDefault="00A106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F70A2" w14:textId="77777777" w:rsidR="00EE5548" w:rsidRDefault="00EE5548">
      <w:pPr>
        <w:spacing w:after="0" w:line="240" w:lineRule="auto"/>
      </w:pPr>
      <w:r>
        <w:separator/>
      </w:r>
    </w:p>
  </w:footnote>
  <w:footnote w:type="continuationSeparator" w:id="0">
    <w:p w14:paraId="3A93838F" w14:textId="77777777" w:rsidR="00EE5548" w:rsidRDefault="00EE5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0B1F42"/>
    <w:rsid w:val="0018584E"/>
    <w:rsid w:val="00286AE5"/>
    <w:rsid w:val="00287BF0"/>
    <w:rsid w:val="002C50EB"/>
    <w:rsid w:val="00333388"/>
    <w:rsid w:val="0039555F"/>
    <w:rsid w:val="00396BF8"/>
    <w:rsid w:val="003E023E"/>
    <w:rsid w:val="003E4379"/>
    <w:rsid w:val="0040562A"/>
    <w:rsid w:val="004D17B8"/>
    <w:rsid w:val="0059069B"/>
    <w:rsid w:val="005F04A9"/>
    <w:rsid w:val="00612892"/>
    <w:rsid w:val="00640120"/>
    <w:rsid w:val="00653DA7"/>
    <w:rsid w:val="006D3C72"/>
    <w:rsid w:val="0073461C"/>
    <w:rsid w:val="007569C7"/>
    <w:rsid w:val="007D04F3"/>
    <w:rsid w:val="00825AAE"/>
    <w:rsid w:val="0096081C"/>
    <w:rsid w:val="009F1555"/>
    <w:rsid w:val="00A1063D"/>
    <w:rsid w:val="00B4381D"/>
    <w:rsid w:val="00C4122A"/>
    <w:rsid w:val="00C448F7"/>
    <w:rsid w:val="00C8337B"/>
    <w:rsid w:val="00D170FC"/>
    <w:rsid w:val="00D350D0"/>
    <w:rsid w:val="00DA7788"/>
    <w:rsid w:val="00E46AB7"/>
    <w:rsid w:val="00E676A9"/>
    <w:rsid w:val="00EA2F5E"/>
    <w:rsid w:val="00EE5548"/>
    <w:rsid w:val="00EF1DE5"/>
    <w:rsid w:val="00F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10454</Words>
  <Characters>59592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Людмила Станиславовна Клюева</cp:lastModifiedBy>
  <cp:revision>9</cp:revision>
  <dcterms:created xsi:type="dcterms:W3CDTF">2022-01-14T10:58:00Z</dcterms:created>
  <dcterms:modified xsi:type="dcterms:W3CDTF">2022-11-16T07:08:00Z</dcterms:modified>
</cp:coreProperties>
</file>